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20" w:rsidRPr="000F6EAD" w:rsidRDefault="008E3120" w:rsidP="008E31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Programma cursus “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het nieuwe ontslagrecht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nl-NL"/>
        </w:rPr>
        <w:t>”</w:t>
      </w:r>
      <w:bookmarkStart w:id="0" w:name="_GoBack"/>
      <w:bookmarkEnd w:id="0"/>
    </w:p>
    <w:p w:rsidR="008E3120" w:rsidRPr="00DE3C68" w:rsidRDefault="008E3120" w:rsidP="008E312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Het ontslagrecht is in 2015 veranderd. </w:t>
      </w: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Het is maar zeer de vraag of h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et ontslag van medewerkers eenvoudiger </w:t>
      </w: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is geworden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. De eerste ervaringen en de jurisprudentie geven een verdeeld beeld. Hoe pakt de Wet werk en zekerheid uit in de praktijk? Hoe </w:t>
      </w: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wordt 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de transitievergoeding </w:t>
      </w: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vastgesteld? Hoe dient een dossier opgebouwd te worden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? </w:t>
      </w: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Hoe dient, in het kader van het ontslagrecht, omgegaan te worden met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 flexibele contracten? </w:t>
      </w: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Hoe wordt omgegaan met de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 aanzegtermijn, </w:t>
      </w: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de 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ketenregeling en </w:t>
      </w: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de 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transitievergoeding? </w:t>
      </w: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Van groot belang is om de kennis over het ontslagrecht op peil te houden.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.</w:t>
      </w:r>
    </w:p>
    <w:p w:rsidR="008E3120" w:rsidRPr="00DE3C68" w:rsidRDefault="008E3120" w:rsidP="008E312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Ook de WW is veranderd. </w:t>
      </w: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Kennis over 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de  Wet Werk en Zekerheid </w:t>
      </w: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is daarom cruciaal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.</w:t>
      </w:r>
    </w:p>
    <w:p w:rsidR="008E3120" w:rsidRDefault="008E3120" w:rsidP="008E3120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</w:pP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Tot slot zijn ook de plannen uit het regeerakkoord over het ontslagrecht van belang.</w:t>
      </w:r>
    </w:p>
    <w:p w:rsidR="008E3120" w:rsidRPr="00DE3C68" w:rsidRDefault="008E3120" w:rsidP="008E312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Tijdens de cursus komen o.a. aan de orde: </w:t>
      </w:r>
    </w:p>
    <w:p w:rsidR="008E3120" w:rsidRPr="00DE3C68" w:rsidRDefault="008E3120" w:rsidP="008E312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de </w:t>
      </w: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 xml:space="preserve">nieuwe 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regels van het ontslagrecht.</w:t>
      </w:r>
      <w:r w:rsidRPr="00DE3C6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</w:p>
    <w:p w:rsidR="008E3120" w:rsidRPr="00DE3C68" w:rsidRDefault="008E3120" w:rsidP="008E312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de Wet werk en zekerheid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.</w:t>
      </w:r>
      <w:r w:rsidRPr="00DE3C6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</w:p>
    <w:p w:rsidR="008E3120" w:rsidRPr="00DE3C68" w:rsidRDefault="008E3120" w:rsidP="008E312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de hoogte van de transitievergoeding.</w:t>
      </w:r>
      <w:r w:rsidRPr="00DE3C6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</w:p>
    <w:p w:rsidR="008E3120" w:rsidRPr="00DA794A" w:rsidRDefault="008E3120" w:rsidP="008E312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factoren waarmee rekening gehouden dient te worden bij ontslag van personeel</w:t>
      </w:r>
      <w:r w:rsidRPr="00DE3C68"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.</w:t>
      </w:r>
    </w:p>
    <w:p w:rsidR="008E3120" w:rsidRPr="00DE3C68" w:rsidRDefault="008E3120" w:rsidP="008E312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iCs/>
          <w:color w:val="4D474B"/>
          <w:sz w:val="20"/>
          <w:szCs w:val="20"/>
          <w:lang w:eastAsia="nl-NL"/>
        </w:rPr>
        <w:t>de invloed van het nieuwe regeerakkoord op het ontslagrecht</w:t>
      </w:r>
    </w:p>
    <w:p w:rsidR="00C033B7" w:rsidRDefault="00C033B7"/>
    <w:sectPr w:rsidR="00C0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F3307"/>
    <w:multiLevelType w:val="multilevel"/>
    <w:tmpl w:val="AF62D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0"/>
    <w:rsid w:val="008E3120"/>
    <w:rsid w:val="00C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F610-E2B9-42DF-B544-2D7A0CD2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312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2017-10-28T09:05:00Z</dcterms:created>
  <dcterms:modified xsi:type="dcterms:W3CDTF">2017-10-28T09:07:00Z</dcterms:modified>
</cp:coreProperties>
</file>